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54C88F77" w:rsidR="00CA313B" w:rsidRDefault="008A5476">
      <w:pPr>
        <w:ind w:left="0" w:hanging="2"/>
        <w:jc w:val="center"/>
        <w:rPr>
          <w:sz w:val="22"/>
          <w:szCs w:val="22"/>
        </w:rPr>
      </w:pPr>
      <w:r>
        <w:rPr>
          <w:b/>
          <w:sz w:val="22"/>
          <w:szCs w:val="22"/>
        </w:rPr>
        <w:t xml:space="preserve">Tuesday, </w:t>
      </w:r>
      <w:r w:rsidR="00DE32B6">
        <w:rPr>
          <w:b/>
          <w:sz w:val="22"/>
          <w:szCs w:val="22"/>
        </w:rPr>
        <w:t>June 24</w:t>
      </w:r>
      <w:r w:rsidR="00E94B4A">
        <w:rPr>
          <w:b/>
          <w:sz w:val="22"/>
          <w:szCs w:val="22"/>
        </w:rPr>
        <w:t>, 2025</w:t>
      </w:r>
      <w:r w:rsidR="004C739E">
        <w:rPr>
          <w:b/>
          <w:sz w:val="22"/>
          <w:szCs w:val="22"/>
        </w:rPr>
        <w:t xml:space="preserve"> at</w:t>
      </w:r>
      <w:r w:rsidR="003E6C89">
        <w:rPr>
          <w:b/>
          <w:sz w:val="22"/>
          <w:szCs w:val="22"/>
        </w:rPr>
        <w:t xml:space="preserve"> </w:t>
      </w:r>
      <w:r w:rsidR="00DE32B6">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327E340A"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DE32B6">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DE32B6">
        <w:rPr>
          <w:i/>
          <w:sz w:val="22"/>
          <w:szCs w:val="22"/>
        </w:rPr>
        <w:t>June 24</w:t>
      </w:r>
      <w:r w:rsidR="00E94B4A">
        <w:rPr>
          <w:i/>
          <w:sz w:val="22"/>
          <w:szCs w:val="22"/>
        </w:rPr>
        <w:t>, 2025</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49AF9DB"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38701010" w14:textId="3DB93077" w:rsidR="00B348D5" w:rsidRDefault="00B348D5" w:rsidP="002F7854">
      <w:pPr>
        <w:widowControl/>
        <w:numPr>
          <w:ilvl w:val="0"/>
          <w:numId w:val="3"/>
        </w:numPr>
        <w:ind w:left="0" w:hanging="2"/>
        <w:rPr>
          <w:color w:val="000000"/>
          <w:sz w:val="22"/>
          <w:szCs w:val="22"/>
        </w:rPr>
      </w:pPr>
      <w:r>
        <w:rPr>
          <w:color w:val="000000"/>
          <w:sz w:val="22"/>
          <w:szCs w:val="22"/>
        </w:rPr>
        <w:t>Communications Committee Report</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0662A49C" w:rsidR="008435F2" w:rsidRDefault="008435F2" w:rsidP="009505CC">
      <w:pPr>
        <w:widowControl/>
        <w:ind w:leftChars="0" w:left="0" w:firstLineChars="0" w:firstLine="0"/>
        <w:rPr>
          <w:b/>
          <w:color w:val="000000"/>
          <w:sz w:val="22"/>
          <w:szCs w:val="22"/>
        </w:rPr>
      </w:pPr>
      <w:r>
        <w:rPr>
          <w:b/>
          <w:color w:val="000000"/>
          <w:sz w:val="22"/>
          <w:szCs w:val="22"/>
        </w:rPr>
        <w:t>Budget Requests:</w:t>
      </w:r>
    </w:p>
    <w:p w14:paraId="00592D7D" w14:textId="77777777" w:rsidR="008435F2" w:rsidRDefault="008435F2" w:rsidP="009505CC">
      <w:pPr>
        <w:widowControl/>
        <w:ind w:leftChars="0" w:left="0" w:firstLineChars="0" w:firstLine="0"/>
        <w:rPr>
          <w:b/>
          <w:color w:val="000000"/>
          <w:sz w:val="22"/>
          <w:szCs w:val="22"/>
        </w:rPr>
      </w:pPr>
    </w:p>
    <w:p w14:paraId="47F501E4" w14:textId="0A146B71"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and available on the website for review</w:t>
      </w:r>
      <w:r w:rsidR="009505CC">
        <w:rPr>
          <w:b/>
          <w:color w:val="000000"/>
          <w:sz w:val="22"/>
          <w:szCs w:val="22"/>
        </w:rPr>
        <w:t>.</w:t>
      </w:r>
      <w:r w:rsidR="00DD57F1">
        <w:rPr>
          <w:b/>
          <w:color w:val="000000"/>
          <w:sz w:val="22"/>
          <w:szCs w:val="22"/>
        </w:rPr>
        <w:t xml:space="preserve">  </w:t>
      </w:r>
    </w:p>
    <w:p w14:paraId="241D7501" w14:textId="01133380" w:rsidR="00B348D5" w:rsidRPr="008A5476" w:rsidRDefault="00B348D5" w:rsidP="00DE32B6">
      <w:pPr>
        <w:pStyle w:val="ListParagraph"/>
        <w:widowControl/>
        <w:numPr>
          <w:ilvl w:val="0"/>
          <w:numId w:val="18"/>
        </w:numPr>
        <w:ind w:leftChars="0" w:firstLineChars="0"/>
        <w:rPr>
          <w:b/>
          <w:color w:val="000000"/>
          <w:sz w:val="22"/>
          <w:szCs w:val="22"/>
        </w:rPr>
      </w:pPr>
      <w:r>
        <w:rPr>
          <w:color w:val="000000"/>
          <w:sz w:val="22"/>
          <w:szCs w:val="22"/>
        </w:rPr>
        <w:t xml:space="preserve">Updated </w:t>
      </w:r>
      <w:r w:rsidR="00DE32B6">
        <w:rPr>
          <w:color w:val="000000"/>
          <w:sz w:val="22"/>
          <w:szCs w:val="22"/>
        </w:rPr>
        <w:t>Conduct Policy</w:t>
      </w:r>
      <w:r w:rsidR="008E1E29">
        <w:rPr>
          <w:color w:val="000000"/>
          <w:sz w:val="22"/>
          <w:szCs w:val="22"/>
        </w:rPr>
        <w:t xml:space="preserve"> to include language about </w:t>
      </w:r>
      <w:r w:rsidR="00E711BD">
        <w:rPr>
          <w:color w:val="000000"/>
          <w:sz w:val="22"/>
          <w:szCs w:val="22"/>
        </w:rPr>
        <w:t>intimidating behaviors</w:t>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Pr="00E711BD" w:rsidRDefault="00E34C72" w:rsidP="00E34C72">
      <w:pPr>
        <w:widowControl/>
        <w:ind w:leftChars="0" w:left="2" w:hanging="2"/>
        <w:rPr>
          <w:color w:val="000000"/>
          <w:sz w:val="22"/>
          <w:szCs w:val="22"/>
        </w:rPr>
      </w:pPr>
      <w:r w:rsidRPr="00E711BD">
        <w:rPr>
          <w:b/>
          <w:color w:val="000000"/>
          <w:sz w:val="22"/>
          <w:szCs w:val="22"/>
        </w:rPr>
        <w:t xml:space="preserve">Action Items: </w:t>
      </w:r>
    </w:p>
    <w:p w14:paraId="46EE7F86" w14:textId="58AB56FE" w:rsidR="00E94B4A" w:rsidRDefault="008A5476" w:rsidP="000959DC">
      <w:pPr>
        <w:widowControl/>
        <w:numPr>
          <w:ilvl w:val="0"/>
          <w:numId w:val="19"/>
        </w:numPr>
        <w:ind w:leftChars="0" w:firstLineChars="0"/>
        <w:rPr>
          <w:sz w:val="22"/>
          <w:szCs w:val="22"/>
        </w:rPr>
      </w:pPr>
      <w:r w:rsidRPr="00E711BD">
        <w:rPr>
          <w:sz w:val="22"/>
          <w:szCs w:val="22"/>
        </w:rPr>
        <w:t xml:space="preserve">Discuss and take action on marketing and branding </w:t>
      </w:r>
    </w:p>
    <w:p w14:paraId="40352F88" w14:textId="327E6D34" w:rsidR="00E711BD" w:rsidRDefault="00E711BD" w:rsidP="000959DC">
      <w:pPr>
        <w:widowControl/>
        <w:numPr>
          <w:ilvl w:val="0"/>
          <w:numId w:val="19"/>
        </w:numPr>
        <w:ind w:leftChars="0" w:firstLineChars="0"/>
        <w:rPr>
          <w:sz w:val="22"/>
          <w:szCs w:val="22"/>
        </w:rPr>
      </w:pPr>
      <w:r>
        <w:rPr>
          <w:sz w:val="22"/>
          <w:szCs w:val="22"/>
        </w:rPr>
        <w:t>Discuss and take action on renovation plans</w:t>
      </w:r>
      <w:bookmarkStart w:id="0" w:name="_GoBack"/>
      <w:bookmarkEnd w:id="0"/>
    </w:p>
    <w:p w14:paraId="0F586FBD" w14:textId="1419CC70" w:rsidR="00E711BD" w:rsidRPr="00E711BD" w:rsidRDefault="00E711BD" w:rsidP="000959DC">
      <w:pPr>
        <w:widowControl/>
        <w:numPr>
          <w:ilvl w:val="0"/>
          <w:numId w:val="19"/>
        </w:numPr>
        <w:ind w:leftChars="0" w:firstLineChars="0"/>
        <w:rPr>
          <w:sz w:val="22"/>
          <w:szCs w:val="22"/>
        </w:rPr>
      </w:pPr>
      <w:r>
        <w:rPr>
          <w:sz w:val="22"/>
          <w:szCs w:val="22"/>
        </w:rPr>
        <w:t>Follow up on discussion regarding alcohol at programs</w:t>
      </w:r>
    </w:p>
    <w:p w14:paraId="2897075C" w14:textId="11183F76" w:rsidR="001D2F1E" w:rsidRPr="00B348D5" w:rsidRDefault="001D2F1E" w:rsidP="000959DC">
      <w:pPr>
        <w:widowControl/>
        <w:numPr>
          <w:ilvl w:val="0"/>
          <w:numId w:val="19"/>
        </w:numPr>
        <w:ind w:leftChars="0" w:firstLineChars="0"/>
        <w:rPr>
          <w:sz w:val="22"/>
          <w:szCs w:val="22"/>
        </w:rPr>
      </w:pPr>
      <w:r>
        <w:rPr>
          <w:sz w:val="22"/>
          <w:szCs w:val="22"/>
        </w:rPr>
        <w:t xml:space="preserve">Discuss and take action on establishing a budget </w:t>
      </w:r>
      <w:r w:rsidR="00032FAB">
        <w:rPr>
          <w:sz w:val="22"/>
          <w:szCs w:val="22"/>
        </w:rPr>
        <w:t xml:space="preserve">and goals </w:t>
      </w:r>
      <w:r>
        <w:rPr>
          <w:sz w:val="22"/>
          <w:szCs w:val="22"/>
        </w:rPr>
        <w:t>for trustee training</w:t>
      </w:r>
    </w:p>
    <w:p w14:paraId="655A0A6B" w14:textId="5B883F9F"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6D6656F1" w14:textId="43BFCEE6" w:rsidR="00387DC7" w:rsidRDefault="00387DC7" w:rsidP="009D6872">
      <w:pPr>
        <w:ind w:leftChars="0" w:left="0" w:firstLineChars="0" w:firstLine="0"/>
        <w:rPr>
          <w:sz w:val="22"/>
          <w:szCs w:val="22"/>
        </w:rPr>
      </w:pPr>
    </w:p>
    <w:p w14:paraId="30712419" w14:textId="77777777" w:rsidR="000D0C88" w:rsidRDefault="000D0C88"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92"/>
    <w:multiLevelType w:val="hybridMultilevel"/>
    <w:tmpl w:val="332C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10"/>
  </w:num>
  <w:num w:numId="2">
    <w:abstractNumId w:val="4"/>
  </w:num>
  <w:num w:numId="3">
    <w:abstractNumId w:val="8"/>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5"/>
  </w:num>
  <w:num w:numId="17">
    <w:abstractNumId w:val="2"/>
  </w:num>
  <w:num w:numId="18">
    <w:abstractNumId w:val="1"/>
  </w:num>
  <w:num w:numId="19">
    <w:abstractNumId w:val="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32FAB"/>
    <w:rsid w:val="00040253"/>
    <w:rsid w:val="00052526"/>
    <w:rsid w:val="000663A3"/>
    <w:rsid w:val="00085427"/>
    <w:rsid w:val="000D0C88"/>
    <w:rsid w:val="000F26F7"/>
    <w:rsid w:val="00104658"/>
    <w:rsid w:val="0012207E"/>
    <w:rsid w:val="001B5718"/>
    <w:rsid w:val="001B65EC"/>
    <w:rsid w:val="001C5E25"/>
    <w:rsid w:val="001D2F1E"/>
    <w:rsid w:val="001F3100"/>
    <w:rsid w:val="00230E0D"/>
    <w:rsid w:val="002404D6"/>
    <w:rsid w:val="0027294E"/>
    <w:rsid w:val="00282DC6"/>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775C5"/>
    <w:rsid w:val="004850AB"/>
    <w:rsid w:val="004A7F5F"/>
    <w:rsid w:val="004B11E6"/>
    <w:rsid w:val="004C6E18"/>
    <w:rsid w:val="004C739E"/>
    <w:rsid w:val="004E4AF5"/>
    <w:rsid w:val="005030BE"/>
    <w:rsid w:val="0050525A"/>
    <w:rsid w:val="00515789"/>
    <w:rsid w:val="0053153E"/>
    <w:rsid w:val="00565174"/>
    <w:rsid w:val="005A6451"/>
    <w:rsid w:val="005D0A9B"/>
    <w:rsid w:val="005D4598"/>
    <w:rsid w:val="00602D31"/>
    <w:rsid w:val="006513F4"/>
    <w:rsid w:val="0067068D"/>
    <w:rsid w:val="0067096B"/>
    <w:rsid w:val="0067131A"/>
    <w:rsid w:val="0067428D"/>
    <w:rsid w:val="006A0618"/>
    <w:rsid w:val="006B5007"/>
    <w:rsid w:val="00711C66"/>
    <w:rsid w:val="007462B1"/>
    <w:rsid w:val="00780B59"/>
    <w:rsid w:val="007A5CB1"/>
    <w:rsid w:val="007A7D66"/>
    <w:rsid w:val="007C6F6F"/>
    <w:rsid w:val="007F2271"/>
    <w:rsid w:val="007F5349"/>
    <w:rsid w:val="007F7B94"/>
    <w:rsid w:val="008039CC"/>
    <w:rsid w:val="008260FD"/>
    <w:rsid w:val="008435F2"/>
    <w:rsid w:val="00894020"/>
    <w:rsid w:val="00895479"/>
    <w:rsid w:val="008A5476"/>
    <w:rsid w:val="008D0A28"/>
    <w:rsid w:val="008D7694"/>
    <w:rsid w:val="008E1E29"/>
    <w:rsid w:val="00920E09"/>
    <w:rsid w:val="009505CC"/>
    <w:rsid w:val="00954587"/>
    <w:rsid w:val="009644A3"/>
    <w:rsid w:val="009A3925"/>
    <w:rsid w:val="009B1342"/>
    <w:rsid w:val="009D4C8A"/>
    <w:rsid w:val="009D6872"/>
    <w:rsid w:val="009D75AC"/>
    <w:rsid w:val="009F543F"/>
    <w:rsid w:val="00A32DC6"/>
    <w:rsid w:val="00A41763"/>
    <w:rsid w:val="00A73E03"/>
    <w:rsid w:val="00B348D5"/>
    <w:rsid w:val="00B46C71"/>
    <w:rsid w:val="00B54958"/>
    <w:rsid w:val="00B6620F"/>
    <w:rsid w:val="00B73FE4"/>
    <w:rsid w:val="00B9456A"/>
    <w:rsid w:val="00C31767"/>
    <w:rsid w:val="00C56B98"/>
    <w:rsid w:val="00C95130"/>
    <w:rsid w:val="00CA313B"/>
    <w:rsid w:val="00CD4358"/>
    <w:rsid w:val="00CE2C56"/>
    <w:rsid w:val="00D12ADA"/>
    <w:rsid w:val="00D24111"/>
    <w:rsid w:val="00D475A6"/>
    <w:rsid w:val="00D6269E"/>
    <w:rsid w:val="00D87772"/>
    <w:rsid w:val="00DA1818"/>
    <w:rsid w:val="00DA461D"/>
    <w:rsid w:val="00DC299C"/>
    <w:rsid w:val="00DD57F1"/>
    <w:rsid w:val="00DE32B6"/>
    <w:rsid w:val="00E33AAC"/>
    <w:rsid w:val="00E34C72"/>
    <w:rsid w:val="00E4207E"/>
    <w:rsid w:val="00E60B78"/>
    <w:rsid w:val="00E711BD"/>
    <w:rsid w:val="00E92B03"/>
    <w:rsid w:val="00E94B4A"/>
    <w:rsid w:val="00EA4F24"/>
    <w:rsid w:val="00ED2CEC"/>
    <w:rsid w:val="00F006D1"/>
    <w:rsid w:val="00F01C22"/>
    <w:rsid w:val="00F10974"/>
    <w:rsid w:val="00F528F7"/>
    <w:rsid w:val="00FD7A91"/>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8</cp:revision>
  <cp:lastPrinted>2025-06-09T20:16:00Z</cp:lastPrinted>
  <dcterms:created xsi:type="dcterms:W3CDTF">2025-04-10T16:03:00Z</dcterms:created>
  <dcterms:modified xsi:type="dcterms:W3CDTF">2025-06-09T20:30:00Z</dcterms:modified>
</cp:coreProperties>
</file>